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436E603E" w14:textId="36181446" w:rsidR="00375789" w:rsidRPr="00E01780" w:rsidRDefault="152DE45A" w:rsidP="00E01780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4ED0D1CB" w14:textId="77777777" w:rsidTr="267C1C5C">
        <w:tc>
          <w:tcPr>
            <w:tcW w:w="4957" w:type="dxa"/>
            <w:shd w:val="clear" w:color="auto" w:fill="B4C6E7"/>
          </w:tcPr>
          <w:p w14:paraId="2A15FA5C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83263E1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302E7B04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2321ED9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7D62EDE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0A55F8B8" w14:textId="77777777" w:rsidTr="267C1C5C">
        <w:trPr>
          <w:trHeight w:val="1042"/>
        </w:trPr>
        <w:tc>
          <w:tcPr>
            <w:tcW w:w="4957" w:type="dxa"/>
          </w:tcPr>
          <w:p w14:paraId="3C0D2CBE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07A4040" w14:textId="4BBBF891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64220D5F"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r w:rsidR="00375789" w:rsidRPr="00375789">
              <w:rPr>
                <w:rFonts w:asciiTheme="minorHAnsi" w:eastAsiaTheme="minorEastAsia" w:hAnsiTheme="minorHAnsi" w:cstheme="minorBidi"/>
                <w:sz w:val="22"/>
                <w:szCs w:val="22"/>
              </w:rPr>
              <w:t>mechanika pojazdów rolniczych i budowlanych</w:t>
            </w:r>
          </w:p>
        </w:tc>
        <w:tc>
          <w:tcPr>
            <w:tcW w:w="3969" w:type="dxa"/>
          </w:tcPr>
          <w:p w14:paraId="4CFFBF2D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EE59" w14:textId="77777777" w:rsidR="00A86B4B" w:rsidRDefault="00A86B4B">
      <w:r>
        <w:separator/>
      </w:r>
    </w:p>
  </w:endnote>
  <w:endnote w:type="continuationSeparator" w:id="0">
    <w:p w14:paraId="037A9339" w14:textId="77777777" w:rsidR="00A86B4B" w:rsidRDefault="00A8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3156" w14:textId="77777777" w:rsidR="00A86B4B" w:rsidRDefault="00A86B4B">
      <w:r>
        <w:separator/>
      </w:r>
    </w:p>
  </w:footnote>
  <w:footnote w:type="continuationSeparator" w:id="0">
    <w:p w14:paraId="247909C9" w14:textId="77777777" w:rsidR="00A86B4B" w:rsidRDefault="00A8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E7CBE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86B4B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1780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